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E" w:rsidRPr="00353524" w:rsidRDefault="00B6647E" w:rsidP="00B6647E">
      <w:pPr>
        <w:widowControl w:val="0"/>
        <w:autoSpaceDE w:val="0"/>
        <w:autoSpaceDN w:val="0"/>
        <w:adjustRightInd w:val="0"/>
        <w:ind w:right="1"/>
        <w:jc w:val="both"/>
        <w:rPr>
          <w:rFonts w:asciiTheme="majorHAnsi" w:hAnsiTheme="majorHAnsi" w:cstheme="majorHAnsi"/>
          <w:sz w:val="36"/>
        </w:rPr>
      </w:pPr>
    </w:p>
    <w:p w:rsidR="00B6647E" w:rsidRPr="00353524" w:rsidRDefault="00B6647E" w:rsidP="00B6647E">
      <w:pPr>
        <w:widowControl w:val="0"/>
        <w:autoSpaceDE w:val="0"/>
        <w:autoSpaceDN w:val="0"/>
        <w:adjustRightInd w:val="0"/>
        <w:ind w:right="1"/>
        <w:jc w:val="both"/>
        <w:rPr>
          <w:rFonts w:asciiTheme="majorHAnsi" w:hAnsiTheme="majorHAnsi" w:cstheme="majorHAnsi"/>
          <w:sz w:val="36"/>
        </w:rPr>
      </w:pPr>
      <w:r w:rsidRPr="00353524">
        <w:rPr>
          <w:rFonts w:asciiTheme="majorHAnsi" w:hAnsiTheme="majorHAnsi" w:cstheme="majorHAnsi"/>
          <w:sz w:val="36"/>
        </w:rPr>
        <w:t xml:space="preserve">AJB - </w:t>
      </w:r>
      <w:r w:rsidR="00A05961">
        <w:rPr>
          <w:rFonts w:asciiTheme="majorHAnsi" w:hAnsiTheme="majorHAnsi" w:cstheme="majorHAnsi"/>
          <w:sz w:val="36"/>
        </w:rPr>
        <w:t>Vorstandssitzung</w:t>
      </w:r>
      <w:r w:rsidRPr="00353524">
        <w:rPr>
          <w:rFonts w:asciiTheme="majorHAnsi" w:hAnsiTheme="majorHAnsi" w:cstheme="majorHAnsi"/>
          <w:sz w:val="36"/>
        </w:rPr>
        <w:t xml:space="preserve"> vom </w:t>
      </w:r>
      <w:r w:rsidR="00125257">
        <w:rPr>
          <w:rFonts w:asciiTheme="majorHAnsi" w:hAnsiTheme="majorHAnsi" w:cstheme="majorHAnsi"/>
          <w:sz w:val="36"/>
        </w:rPr>
        <w:t>28. August</w:t>
      </w:r>
      <w:r w:rsidR="00A05961">
        <w:rPr>
          <w:rFonts w:asciiTheme="majorHAnsi" w:hAnsiTheme="majorHAnsi" w:cstheme="majorHAnsi"/>
          <w:sz w:val="36"/>
        </w:rPr>
        <w:t xml:space="preserve"> </w:t>
      </w:r>
      <w:r w:rsidR="0076569D">
        <w:rPr>
          <w:rFonts w:asciiTheme="majorHAnsi" w:hAnsiTheme="majorHAnsi" w:cstheme="majorHAnsi"/>
          <w:sz w:val="36"/>
        </w:rPr>
        <w:t>2013</w:t>
      </w:r>
      <w:r w:rsidRPr="00353524">
        <w:rPr>
          <w:rFonts w:asciiTheme="majorHAnsi" w:hAnsiTheme="majorHAnsi" w:cstheme="majorHAnsi"/>
          <w:sz w:val="36"/>
        </w:rPr>
        <w:t xml:space="preserve"> – Protokoll</w:t>
      </w:r>
    </w:p>
    <w:p w:rsidR="00BF2A79" w:rsidRDefault="00BF2A79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de-DE" w:eastAsia="en-US"/>
        </w:rPr>
      </w:pPr>
    </w:p>
    <w:p w:rsidR="0076569D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de-DE" w:eastAsia="en-US"/>
        </w:rPr>
      </w:pPr>
      <w:r>
        <w:rPr>
          <w:rFonts w:asciiTheme="majorHAnsi" w:eastAsiaTheme="minorHAnsi" w:hAnsiTheme="majorHAnsi" w:cstheme="majorHAnsi"/>
          <w:sz w:val="20"/>
          <w:lang w:val="de-DE" w:eastAsia="en-US"/>
        </w:rPr>
        <w:t>Anwesende:</w:t>
      </w:r>
    </w:p>
    <w:p w:rsidR="00FF73D6" w:rsidRPr="00272B59" w:rsidRDefault="00FF73D6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fr-CH" w:eastAsia="en-US"/>
        </w:rPr>
      </w:pPr>
      <w:r w:rsidRPr="00272B59">
        <w:rPr>
          <w:rFonts w:asciiTheme="majorHAnsi" w:eastAsiaTheme="minorHAnsi" w:hAnsiTheme="majorHAnsi" w:cstheme="majorHAnsi"/>
          <w:sz w:val="20"/>
          <w:lang w:val="fr-CH" w:eastAsia="en-US"/>
        </w:rPr>
        <w:t>Frédéric Carron</w:t>
      </w:r>
    </w:p>
    <w:p w:rsidR="0076569D" w:rsidRPr="00272B59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fr-CH" w:eastAsia="en-US"/>
        </w:rPr>
      </w:pPr>
      <w:r w:rsidRPr="00272B59">
        <w:rPr>
          <w:rFonts w:asciiTheme="majorHAnsi" w:eastAsiaTheme="minorHAnsi" w:hAnsiTheme="majorHAnsi" w:cstheme="majorHAnsi"/>
          <w:sz w:val="20"/>
          <w:lang w:val="fr-CH" w:eastAsia="en-US"/>
        </w:rPr>
        <w:t xml:space="preserve">David </w:t>
      </w:r>
      <w:proofErr w:type="spellStart"/>
      <w:r w:rsidRPr="00272B59">
        <w:rPr>
          <w:rFonts w:asciiTheme="majorHAnsi" w:eastAsiaTheme="minorHAnsi" w:hAnsiTheme="majorHAnsi" w:cstheme="majorHAnsi"/>
          <w:sz w:val="20"/>
          <w:lang w:val="fr-CH" w:eastAsia="en-US"/>
        </w:rPr>
        <w:t>Lehnen</w:t>
      </w:r>
      <w:proofErr w:type="spellEnd"/>
    </w:p>
    <w:p w:rsidR="0076569D" w:rsidRPr="00272B59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fr-CH" w:eastAsia="en-US"/>
        </w:rPr>
      </w:pPr>
      <w:proofErr w:type="spellStart"/>
      <w:r w:rsidRPr="00272B59">
        <w:rPr>
          <w:rFonts w:asciiTheme="majorHAnsi" w:eastAsiaTheme="minorHAnsi" w:hAnsiTheme="majorHAnsi" w:cstheme="majorHAnsi"/>
          <w:sz w:val="20"/>
          <w:lang w:val="fr-CH" w:eastAsia="en-US"/>
        </w:rPr>
        <w:t>Melina</w:t>
      </w:r>
      <w:proofErr w:type="spellEnd"/>
      <w:r w:rsidRPr="00272B59">
        <w:rPr>
          <w:rFonts w:asciiTheme="majorHAnsi" w:eastAsiaTheme="minorHAnsi" w:hAnsiTheme="majorHAnsi" w:cstheme="majorHAnsi"/>
          <w:sz w:val="20"/>
          <w:lang w:val="fr-CH" w:eastAsia="en-US"/>
        </w:rPr>
        <w:t xml:space="preserve"> Lüthi</w:t>
      </w:r>
    </w:p>
    <w:p w:rsidR="0076569D" w:rsidRPr="00FF73D6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eastAsia="en-US"/>
        </w:rPr>
      </w:pPr>
      <w:r w:rsidRPr="00FF73D6">
        <w:rPr>
          <w:rFonts w:asciiTheme="majorHAnsi" w:eastAsiaTheme="minorHAnsi" w:hAnsiTheme="majorHAnsi" w:cstheme="majorHAnsi"/>
          <w:sz w:val="20"/>
          <w:lang w:eastAsia="en-US"/>
        </w:rPr>
        <w:t>Christoph Hofer</w:t>
      </w:r>
    </w:p>
    <w:p w:rsidR="0076569D" w:rsidRPr="00FF73D6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eastAsia="en-US"/>
        </w:rPr>
      </w:pPr>
      <w:r w:rsidRPr="00FF73D6">
        <w:rPr>
          <w:rFonts w:asciiTheme="majorHAnsi" w:eastAsiaTheme="minorHAnsi" w:hAnsiTheme="majorHAnsi" w:cstheme="majorHAnsi"/>
          <w:sz w:val="20"/>
          <w:lang w:eastAsia="en-US"/>
        </w:rPr>
        <w:t xml:space="preserve">Axel </w:t>
      </w:r>
      <w:proofErr w:type="spellStart"/>
      <w:r w:rsidRPr="00FF73D6">
        <w:rPr>
          <w:rFonts w:asciiTheme="majorHAnsi" w:eastAsiaTheme="minorHAnsi" w:hAnsiTheme="majorHAnsi" w:cstheme="majorHAnsi"/>
          <w:sz w:val="20"/>
          <w:lang w:eastAsia="en-US"/>
        </w:rPr>
        <w:t>Monney</w:t>
      </w:r>
      <w:proofErr w:type="spellEnd"/>
    </w:p>
    <w:p w:rsidR="0076569D" w:rsidRDefault="0076569D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de-DE" w:eastAsia="en-US"/>
        </w:rPr>
      </w:pPr>
      <w:r>
        <w:rPr>
          <w:rFonts w:asciiTheme="majorHAnsi" w:eastAsiaTheme="minorHAnsi" w:hAnsiTheme="majorHAnsi" w:cstheme="majorHAnsi"/>
          <w:sz w:val="20"/>
          <w:lang w:val="de-DE" w:eastAsia="en-US"/>
        </w:rPr>
        <w:t>Entschuldigt: Roman Kläger</w:t>
      </w:r>
      <w:r w:rsidR="00FF73D6">
        <w:rPr>
          <w:rFonts w:asciiTheme="majorHAnsi" w:eastAsiaTheme="minorHAnsi" w:hAnsiTheme="majorHAnsi" w:cstheme="majorHAnsi"/>
          <w:sz w:val="20"/>
          <w:lang w:val="de-DE" w:eastAsia="en-US"/>
        </w:rPr>
        <w:t>, Benjamin Suter-</w:t>
      </w:r>
      <w:proofErr w:type="spellStart"/>
      <w:r w:rsidR="00FF73D6">
        <w:rPr>
          <w:rFonts w:asciiTheme="majorHAnsi" w:eastAsiaTheme="minorHAnsi" w:hAnsiTheme="majorHAnsi" w:cstheme="majorHAnsi"/>
          <w:sz w:val="20"/>
          <w:lang w:val="de-DE" w:eastAsia="en-US"/>
        </w:rPr>
        <w:t>Dörig</w:t>
      </w:r>
      <w:proofErr w:type="spellEnd"/>
      <w:r w:rsidR="00125257">
        <w:rPr>
          <w:rFonts w:asciiTheme="majorHAnsi" w:eastAsiaTheme="minorHAnsi" w:hAnsiTheme="majorHAnsi" w:cstheme="majorHAnsi"/>
          <w:sz w:val="20"/>
          <w:lang w:val="de-DE" w:eastAsia="en-US"/>
        </w:rPr>
        <w:t>,</w:t>
      </w:r>
      <w:r w:rsidR="00125257" w:rsidRPr="00125257">
        <w:rPr>
          <w:rFonts w:asciiTheme="majorHAnsi" w:eastAsiaTheme="minorHAnsi" w:hAnsiTheme="majorHAnsi" w:cstheme="majorHAnsi"/>
          <w:sz w:val="20"/>
          <w:lang w:val="de-DE" w:eastAsia="en-US"/>
        </w:rPr>
        <w:t xml:space="preserve"> </w:t>
      </w:r>
      <w:r w:rsidR="00125257">
        <w:rPr>
          <w:rFonts w:asciiTheme="majorHAnsi" w:eastAsiaTheme="minorHAnsi" w:hAnsiTheme="majorHAnsi" w:cstheme="majorHAnsi"/>
          <w:sz w:val="20"/>
          <w:lang w:val="de-DE" w:eastAsia="en-US"/>
        </w:rPr>
        <w:t xml:space="preserve">Niko </w:t>
      </w:r>
      <w:proofErr w:type="spellStart"/>
      <w:r w:rsidR="00125257">
        <w:rPr>
          <w:rFonts w:asciiTheme="majorHAnsi" w:eastAsiaTheme="minorHAnsi" w:hAnsiTheme="majorHAnsi" w:cstheme="majorHAnsi"/>
          <w:sz w:val="20"/>
          <w:lang w:val="de-DE" w:eastAsia="en-US"/>
        </w:rPr>
        <w:t>Laaksonlaita</w:t>
      </w:r>
      <w:proofErr w:type="spellEnd"/>
    </w:p>
    <w:p w:rsidR="00B6647E" w:rsidRPr="00353524" w:rsidRDefault="00B6647E" w:rsidP="00B6647E">
      <w:pPr>
        <w:ind w:right="1"/>
        <w:jc w:val="both"/>
        <w:rPr>
          <w:rFonts w:asciiTheme="majorHAnsi" w:eastAsiaTheme="minorHAnsi" w:hAnsiTheme="majorHAnsi" w:cstheme="majorHAnsi"/>
          <w:sz w:val="20"/>
          <w:lang w:val="de-DE" w:eastAsia="en-US"/>
        </w:rPr>
      </w:pPr>
    </w:p>
    <w:tbl>
      <w:tblPr>
        <w:tblStyle w:val="Tabellengitternetz"/>
        <w:tblW w:w="974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747"/>
      </w:tblGrid>
      <w:tr w:rsidR="00BF2A79" w:rsidRPr="00353524" w:rsidTr="00E0145D">
        <w:tc>
          <w:tcPr>
            <w:tcW w:w="9747" w:type="dxa"/>
            <w:tcBorders>
              <w:bottom w:val="single" w:sz="4" w:space="0" w:color="auto"/>
            </w:tcBorders>
          </w:tcPr>
          <w:p w:rsidR="00B6647E" w:rsidRPr="00353524" w:rsidRDefault="00BF2A79" w:rsidP="00B6647E">
            <w:pPr>
              <w:ind w:right="175"/>
              <w:jc w:val="both"/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</w:pPr>
            <w:r w:rsidRPr="00353524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 xml:space="preserve">1. </w:t>
            </w:r>
            <w:r w:rsidR="00A05961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>Bericht aus den Ressort</w:t>
            </w:r>
          </w:p>
          <w:p w:rsidR="00BF2A79" w:rsidRDefault="00FF73D6" w:rsidP="00125257">
            <w:pPr>
              <w:pStyle w:val="Listenabsatz"/>
              <w:spacing w:after="200"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Frédéric </w:t>
            </w:r>
            <w:r w:rsidR="00125257">
              <w:rPr>
                <w:rFonts w:asciiTheme="majorHAnsi" w:hAnsiTheme="majorHAnsi" w:cstheme="majorHAnsi"/>
                <w:sz w:val="20"/>
                <w:szCs w:val="20"/>
              </w:rPr>
              <w:t>hat alle Mitgliederbeiträge erhalten. Er muss noch die Kleiderrechnungen ausstellen.</w:t>
            </w:r>
            <w:r w:rsidR="00E04CCC">
              <w:rPr>
                <w:rFonts w:asciiTheme="majorHAnsi" w:hAnsiTheme="majorHAnsi" w:cstheme="majorHAnsi"/>
                <w:sz w:val="20"/>
                <w:szCs w:val="20"/>
              </w:rPr>
              <w:t xml:space="preserve"> Der Verlust ist weniger hoch </w:t>
            </w:r>
            <w:r w:rsidR="00272B59">
              <w:rPr>
                <w:rFonts w:asciiTheme="majorHAnsi" w:hAnsiTheme="majorHAnsi" w:cstheme="majorHAnsi"/>
                <w:sz w:val="20"/>
                <w:szCs w:val="20"/>
              </w:rPr>
              <w:t>als erwartet dank</w:t>
            </w:r>
            <w:r w:rsidR="00E04CCC">
              <w:rPr>
                <w:rFonts w:asciiTheme="majorHAnsi" w:hAnsiTheme="majorHAnsi" w:cstheme="majorHAnsi"/>
                <w:sz w:val="20"/>
                <w:szCs w:val="20"/>
              </w:rPr>
              <w:t xml:space="preserve"> nobler Spenden.</w:t>
            </w:r>
          </w:p>
          <w:p w:rsidR="00E04CCC" w:rsidRDefault="00E04CCC" w:rsidP="00125257">
            <w:pPr>
              <w:pStyle w:val="Listenabsatz"/>
              <w:spacing w:after="200" w:line="276" w:lineRule="auto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Christoph wollte ein Update machen, welches zu einem total Ausfall der Webseite führte. Nun will er sie neu aufbauen, damit er problemlos neue Updates installieren kann.</w:t>
            </w:r>
          </w:p>
          <w:p w:rsidR="00E04CCC" w:rsidRPr="00353524" w:rsidRDefault="00E04CCC" w:rsidP="00B437AB">
            <w:pPr>
              <w:pStyle w:val="Listenabsatz"/>
              <w:spacing w:after="200" w:line="276" w:lineRule="auto"/>
              <w:ind w:left="284"/>
              <w:rPr>
                <w:rFonts w:asciiTheme="majorHAnsi" w:eastAsiaTheme="minorHAnsi" w:hAnsiTheme="majorHAnsi" w:cstheme="majorHAnsi"/>
                <w:sz w:val="10"/>
                <w:lang w:val="de-DE"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Axel sollte noch die Finanzdetails bekommen</w:t>
            </w:r>
            <w:r w:rsidR="00B437AB">
              <w:rPr>
                <w:rFonts w:asciiTheme="majorHAnsi" w:hAnsiTheme="majorHAnsi" w:cstheme="majorHAnsi"/>
                <w:sz w:val="20"/>
                <w:szCs w:val="20"/>
              </w:rPr>
              <w:t>, 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das HV-Protokoll</w:t>
            </w:r>
            <w:r w:rsidR="00272B59">
              <w:rPr>
                <w:rFonts w:asciiTheme="majorHAnsi" w:hAnsiTheme="majorHAnsi" w:cstheme="majorHAnsi"/>
                <w:sz w:val="20"/>
                <w:szCs w:val="20"/>
              </w:rPr>
              <w:t xml:space="preserve"> fertigzu</w:t>
            </w:r>
            <w:r w:rsidR="00B437AB">
              <w:rPr>
                <w:rFonts w:asciiTheme="majorHAnsi" w:hAnsiTheme="majorHAnsi" w:cstheme="majorHAnsi"/>
                <w:sz w:val="20"/>
                <w:szCs w:val="20"/>
              </w:rPr>
              <w:t>stellen.</w:t>
            </w:r>
          </w:p>
        </w:tc>
      </w:tr>
      <w:tr w:rsidR="00BF2A79" w:rsidRPr="00353524" w:rsidTr="00E0145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F2A79" w:rsidRPr="00353524" w:rsidRDefault="00BF2A79" w:rsidP="00B6647E">
            <w:pPr>
              <w:ind w:right="175"/>
              <w:jc w:val="both"/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</w:pPr>
            <w:r w:rsidRPr="00353524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 xml:space="preserve">2. </w:t>
            </w:r>
            <w:r w:rsidR="00B437AB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>Lagerrückblick</w:t>
            </w:r>
          </w:p>
          <w:p w:rsidR="00BF2A79" w:rsidRPr="00353524" w:rsidRDefault="00B437AB" w:rsidP="003E5F4D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Es hatte zu wenig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Teilnehmer, um keinen Verlust zu machen. A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ber gegen alle Erwartungen gab es nur einen im Rahmen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liegenden</w:t>
            </w:r>
            <w:proofErr w:type="gramStart"/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,kleinen</w:t>
            </w:r>
            <w:proofErr w:type="spellEnd"/>
            <w:proofErr w:type="gramEnd"/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Verlust.</w:t>
            </w:r>
          </w:p>
          <w:p w:rsidR="00BF2A79" w:rsidRPr="00353524" w:rsidRDefault="00BF2A79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10"/>
                <w:lang w:val="de-DE" w:eastAsia="en-US"/>
              </w:rPr>
            </w:pPr>
          </w:p>
        </w:tc>
      </w:tr>
      <w:tr w:rsidR="00BF2A79" w:rsidRPr="00353524" w:rsidTr="00E0145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F2A79" w:rsidRDefault="00BF2A79" w:rsidP="00B6647E">
            <w:pPr>
              <w:ind w:right="175"/>
              <w:jc w:val="both"/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</w:pPr>
            <w:r w:rsidRPr="00353524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 xml:space="preserve">3. </w:t>
            </w:r>
            <w:proofErr w:type="spellStart"/>
            <w:r w:rsidR="00B437AB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>Verdankung</w:t>
            </w:r>
            <w:proofErr w:type="spellEnd"/>
          </w:p>
          <w:p w:rsidR="00BF2A79" w:rsidRDefault="009411A3" w:rsidP="00422C2A">
            <w:pPr>
              <w:ind w:left="284" w:right="175" w:hanging="284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   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Die Firma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</w:t>
            </w:r>
            <w:proofErr w:type="spellStart"/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Zumstein</w:t>
            </w:r>
            <w:proofErr w:type="spellEnd"/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und die </w:t>
            </w:r>
            <w:proofErr w:type="spellStart"/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Burgergemeinde</w:t>
            </w:r>
            <w:proofErr w:type="spellEnd"/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haben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die zugesagten, </w:t>
            </w:r>
            <w:proofErr w:type="spellStart"/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grosszügigen</w:t>
            </w:r>
            <w:proofErr w:type="spellEnd"/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Spenden </w:t>
            </w:r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bereits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ein</w:t>
            </w:r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bezahlt. Der Zunft zum Mittellöwen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darf</w:t>
            </w:r>
            <w:r w:rsidR="00B437AB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noch eine Rechnung ausgestellt werden.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Um die Spenden zu 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verdanken,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haben wir uns eine Tafel Schokolade mit einem AJB Lagerfoto vorgestellt.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Dave kümmert sich darum.</w:t>
            </w:r>
          </w:p>
          <w:p w:rsidR="009411A3" w:rsidRPr="00353524" w:rsidRDefault="009411A3" w:rsidP="00422C2A">
            <w:pPr>
              <w:ind w:left="284" w:right="175" w:hanging="284"/>
              <w:jc w:val="both"/>
              <w:rPr>
                <w:rFonts w:asciiTheme="majorHAnsi" w:eastAsiaTheme="minorHAnsi" w:hAnsiTheme="majorHAnsi" w:cstheme="majorHAnsi"/>
                <w:sz w:val="10"/>
                <w:lang w:val="de-DE" w:eastAsia="en-US"/>
              </w:rPr>
            </w:pPr>
          </w:p>
        </w:tc>
      </w:tr>
      <w:tr w:rsidR="00BF2A79" w:rsidRPr="00353524" w:rsidTr="00E0145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F2A79" w:rsidRPr="00353524" w:rsidRDefault="00BF2A79" w:rsidP="00B6647E">
            <w:pPr>
              <w:ind w:right="175"/>
              <w:jc w:val="both"/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</w:pPr>
            <w:r w:rsidRPr="00353524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 xml:space="preserve">4. </w:t>
            </w:r>
            <w:r w:rsidR="009411A3">
              <w:rPr>
                <w:rFonts w:asciiTheme="majorHAnsi" w:eastAsiaTheme="minorHAnsi" w:hAnsiTheme="majorHAnsi" w:cstheme="majorHAnsi"/>
                <w:b/>
                <w:sz w:val="20"/>
                <w:lang w:val="de-DE" w:eastAsia="en-US"/>
              </w:rPr>
              <w:t>Varia</w:t>
            </w:r>
          </w:p>
          <w:p w:rsidR="00373A72" w:rsidRDefault="00272B59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Die Delegiertenv</w:t>
            </w:r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ersammlung 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der SAG </w:t>
            </w:r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findet in der Uni Bern statt</w:t>
            </w:r>
            <w:r w:rsidR="00373A72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. </w:t>
            </w:r>
          </w:p>
          <w:p w:rsidR="009411A3" w:rsidRDefault="009411A3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Die AJB wird das Tagesbüro übernehmen. Am Abend wird sie sich dann in der Sternwarte offiziell vorstellen mit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anschliessend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er</w:t>
            </w:r>
            <w:proofErr w:type="spellEnd"/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Führung durch die Sternwarte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.</w:t>
            </w:r>
          </w:p>
          <w:p w:rsidR="009411A3" w:rsidRDefault="009411A3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</w:p>
          <w:p w:rsidR="009411A3" w:rsidRDefault="00272B59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Zum 40-</w:t>
            </w:r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jährigen Jubiläum 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der AJB </w:t>
            </w:r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hat sich der Vorstand ein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en</w:t>
            </w:r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Stehlunch vorgestellt, zu welchem wir einen interessanten Referenten einladen (ev. Bruno </w:t>
            </w:r>
            <w:proofErr w:type="spellStart"/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Staneck</w:t>
            </w:r>
            <w:proofErr w:type="spellEnd"/>
            <w:r w:rsidR="009411A3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).</w:t>
            </w:r>
          </w:p>
          <w:p w:rsidR="009411A3" w:rsidRDefault="009411A3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</w:p>
          <w:p w:rsidR="00627A61" w:rsidRDefault="00627A61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Das Gesuch für die </w:t>
            </w:r>
            <w:proofErr w:type="spellStart"/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Keycard</w:t>
            </w:r>
            <w:proofErr w:type="spellEnd"/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ist eingereicht.</w:t>
            </w:r>
          </w:p>
          <w:p w:rsidR="00627A61" w:rsidRDefault="00627A61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</w:p>
          <w:p w:rsidR="00627A61" w:rsidRDefault="00627A61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Roman will die Pläne für den 45er noch anpassen. Die Einkaufslisten hat er bereits zusammengestellt.</w:t>
            </w:r>
          </w:p>
          <w:p w:rsidR="00627A61" w:rsidRDefault="00627A61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</w:p>
          <w:p w:rsidR="00627A61" w:rsidRDefault="00627A61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Dave versucht noch die Adressen von Fatima und Tiziano herauszufinden.</w:t>
            </w:r>
          </w:p>
          <w:p w:rsidR="00627A61" w:rsidRDefault="00627A61" w:rsidP="00627A61">
            <w:pPr>
              <w:ind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     </w:t>
            </w:r>
          </w:p>
          <w:p w:rsidR="00627A61" w:rsidRPr="00353524" w:rsidRDefault="00627A61" w:rsidP="00627A61">
            <w:pPr>
              <w:ind w:right="175"/>
              <w:jc w:val="both"/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 xml:space="preserve">      Die nächste Vorstandssitzung findet am 28.</w:t>
            </w:r>
            <w:r w:rsidR="00272B59"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10</w:t>
            </w:r>
            <w:r>
              <w:rPr>
                <w:rFonts w:asciiTheme="majorHAnsi" w:eastAsiaTheme="minorHAnsi" w:hAnsiTheme="majorHAnsi" w:cstheme="majorHAnsi"/>
                <w:sz w:val="20"/>
                <w:lang w:val="de-DE" w:eastAsia="en-US"/>
              </w:rPr>
              <w:t>.2013 statt.</w:t>
            </w:r>
          </w:p>
          <w:p w:rsidR="00BF2A79" w:rsidRPr="00353524" w:rsidRDefault="00BF2A79" w:rsidP="00B6647E">
            <w:pPr>
              <w:ind w:left="284" w:right="175"/>
              <w:jc w:val="both"/>
              <w:rPr>
                <w:rFonts w:asciiTheme="majorHAnsi" w:eastAsiaTheme="minorHAnsi" w:hAnsiTheme="majorHAnsi" w:cstheme="majorHAnsi"/>
                <w:sz w:val="10"/>
                <w:lang w:val="de-DE" w:eastAsia="en-US"/>
              </w:rPr>
            </w:pPr>
          </w:p>
        </w:tc>
      </w:tr>
    </w:tbl>
    <w:p w:rsidR="00B6647E" w:rsidRPr="00353524" w:rsidRDefault="00B6647E" w:rsidP="008A54FB">
      <w:pPr>
        <w:ind w:right="1"/>
        <w:jc w:val="both"/>
        <w:rPr>
          <w:rFonts w:asciiTheme="majorHAnsi" w:eastAsiaTheme="minorHAnsi" w:hAnsiTheme="majorHAnsi" w:cstheme="majorHAnsi"/>
          <w:b/>
          <w:sz w:val="20"/>
          <w:lang w:val="de-DE" w:eastAsia="en-US"/>
        </w:rPr>
      </w:pPr>
    </w:p>
    <w:sectPr w:rsidR="00B6647E" w:rsidRPr="00353524" w:rsidSect="00B6647E">
      <w:headerReference w:type="default" r:id="rId7"/>
      <w:pgSz w:w="11900" w:h="16840"/>
      <w:pgMar w:top="2127" w:right="1268" w:bottom="1134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AB" w:rsidRDefault="00916AAB" w:rsidP="00C26AFD">
      <w:r>
        <w:separator/>
      </w:r>
    </w:p>
  </w:endnote>
  <w:endnote w:type="continuationSeparator" w:id="0">
    <w:p w:rsidR="00916AAB" w:rsidRDefault="00916AAB" w:rsidP="00C2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AB" w:rsidRDefault="00916AAB" w:rsidP="00C26AFD">
      <w:r>
        <w:separator/>
      </w:r>
    </w:p>
  </w:footnote>
  <w:footnote w:type="continuationSeparator" w:id="0">
    <w:p w:rsidR="00916AAB" w:rsidRDefault="00916AAB" w:rsidP="00C2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2048"/>
      <w:gridCol w:w="7383"/>
    </w:tblGrid>
    <w:tr w:rsidR="00B6647E" w:rsidRPr="00353524">
      <w:tc>
        <w:tcPr>
          <w:tcW w:w="2088" w:type="dxa"/>
          <w:tcBorders>
            <w:bottom w:val="single" w:sz="4" w:space="0" w:color="auto"/>
          </w:tcBorders>
        </w:tcPr>
        <w:p w:rsidR="00B6647E" w:rsidRPr="00353524" w:rsidRDefault="00B6647E">
          <w:pPr>
            <w:pStyle w:val="Kopfzeile"/>
            <w:rPr>
              <w:rFonts w:asciiTheme="majorHAnsi" w:hAnsiTheme="majorHAnsi" w:cstheme="majorHAnsi"/>
              <w:sz w:val="6"/>
            </w:rPr>
          </w:pPr>
          <w:r w:rsidRPr="00353524">
            <w:rPr>
              <w:rFonts w:asciiTheme="majorHAnsi" w:hAnsiTheme="majorHAnsi" w:cstheme="majorHAnsi"/>
              <w:noProof/>
              <w:sz w:val="6"/>
              <w:lang w:eastAsia="de-CH"/>
            </w:rPr>
            <w:drawing>
              <wp:inline distT="0" distB="0" distL="0" distR="0">
                <wp:extent cx="1041400" cy="495300"/>
                <wp:effectExtent l="25400" t="0" r="0" b="0"/>
                <wp:docPr id="1" name="Bild 1" descr="AJB Logo 2004 Hauptlogo schwarz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JB Logo 2004 Hauptlogo schwarz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3524">
            <w:rPr>
              <w:rFonts w:asciiTheme="majorHAnsi" w:hAnsiTheme="majorHAnsi" w:cstheme="majorHAnsi"/>
              <w:sz w:val="6"/>
            </w:rPr>
            <w:br/>
          </w:r>
        </w:p>
      </w:tc>
      <w:tc>
        <w:tcPr>
          <w:tcW w:w="8824" w:type="dxa"/>
          <w:tcBorders>
            <w:bottom w:val="single" w:sz="4" w:space="0" w:color="auto"/>
          </w:tcBorders>
          <w:vAlign w:val="bottom"/>
        </w:tcPr>
        <w:p w:rsidR="00B6647E" w:rsidRPr="00353524" w:rsidRDefault="00B6647E">
          <w:pPr>
            <w:pStyle w:val="Kopfzeile"/>
            <w:jc w:val="right"/>
            <w:rPr>
              <w:rFonts w:asciiTheme="majorHAnsi" w:hAnsiTheme="majorHAnsi" w:cstheme="majorHAnsi"/>
              <w:b/>
              <w:sz w:val="16"/>
            </w:rPr>
          </w:pPr>
          <w:r w:rsidRPr="00353524">
            <w:rPr>
              <w:rFonts w:asciiTheme="majorHAnsi" w:hAnsiTheme="majorHAnsi" w:cstheme="majorHAnsi"/>
              <w:b/>
              <w:spacing w:val="10"/>
              <w:sz w:val="28"/>
            </w:rPr>
            <w:t>A</w:t>
          </w:r>
          <w:r w:rsidRPr="00353524">
            <w:rPr>
              <w:rFonts w:asciiTheme="majorHAnsi" w:hAnsiTheme="majorHAnsi" w:cstheme="majorHAnsi"/>
              <w:b/>
              <w:spacing w:val="10"/>
            </w:rPr>
            <w:t xml:space="preserve">stronomische </w:t>
          </w:r>
          <w:r w:rsidRPr="00353524">
            <w:rPr>
              <w:rFonts w:asciiTheme="majorHAnsi" w:hAnsiTheme="majorHAnsi" w:cstheme="majorHAnsi"/>
              <w:b/>
              <w:spacing w:val="10"/>
              <w:sz w:val="28"/>
            </w:rPr>
            <w:t>J</w:t>
          </w:r>
          <w:r w:rsidRPr="00353524">
            <w:rPr>
              <w:rFonts w:asciiTheme="majorHAnsi" w:hAnsiTheme="majorHAnsi" w:cstheme="majorHAnsi"/>
              <w:b/>
              <w:spacing w:val="10"/>
            </w:rPr>
            <w:t xml:space="preserve">ugendgruppe </w:t>
          </w:r>
          <w:r w:rsidRPr="00353524">
            <w:rPr>
              <w:rFonts w:asciiTheme="majorHAnsi" w:hAnsiTheme="majorHAnsi" w:cstheme="majorHAnsi"/>
              <w:b/>
              <w:spacing w:val="10"/>
              <w:sz w:val="28"/>
            </w:rPr>
            <w:t>B</w:t>
          </w:r>
          <w:r w:rsidRPr="00353524">
            <w:rPr>
              <w:rFonts w:asciiTheme="majorHAnsi" w:hAnsiTheme="majorHAnsi" w:cstheme="majorHAnsi"/>
              <w:b/>
              <w:spacing w:val="10"/>
            </w:rPr>
            <w:t>ern</w:t>
          </w:r>
        </w:p>
      </w:tc>
    </w:tr>
    <w:tr w:rsidR="00B6647E" w:rsidRPr="00353524">
      <w:tc>
        <w:tcPr>
          <w:tcW w:w="2088" w:type="dxa"/>
          <w:tcBorders>
            <w:top w:val="single" w:sz="4" w:space="0" w:color="auto"/>
            <w:bottom w:val="nil"/>
          </w:tcBorders>
        </w:tcPr>
        <w:p w:rsidR="00B6647E" w:rsidRPr="00353524" w:rsidRDefault="00B6647E">
          <w:pPr>
            <w:pStyle w:val="Kopfzeile"/>
            <w:rPr>
              <w:rFonts w:asciiTheme="majorHAnsi" w:hAnsiTheme="majorHAnsi" w:cstheme="majorHAnsi"/>
              <w:sz w:val="16"/>
            </w:rPr>
          </w:pPr>
        </w:p>
      </w:tc>
      <w:tc>
        <w:tcPr>
          <w:tcW w:w="8824" w:type="dxa"/>
          <w:tcBorders>
            <w:top w:val="single" w:sz="4" w:space="0" w:color="auto"/>
            <w:bottom w:val="nil"/>
          </w:tcBorders>
          <w:vAlign w:val="bottom"/>
        </w:tcPr>
        <w:p w:rsidR="00B6647E" w:rsidRPr="00353524" w:rsidRDefault="00B6647E">
          <w:pPr>
            <w:pStyle w:val="Kopfzeile"/>
            <w:spacing w:before="40"/>
            <w:jc w:val="right"/>
            <w:rPr>
              <w:rFonts w:asciiTheme="majorHAnsi" w:hAnsiTheme="majorHAnsi" w:cstheme="majorHAnsi"/>
              <w:spacing w:val="4"/>
              <w:sz w:val="16"/>
            </w:rPr>
          </w:pPr>
          <w:r w:rsidRPr="00353524">
            <w:rPr>
              <w:rFonts w:asciiTheme="majorHAnsi" w:hAnsiTheme="majorHAnsi" w:cstheme="majorHAnsi"/>
              <w:spacing w:val="4"/>
              <w:sz w:val="16"/>
            </w:rPr>
            <w:t>Postanschrift: Astronomische Jugendgruppe, 3000 Bern  /  Postkonto: 23-549969-5</w:t>
          </w:r>
        </w:p>
      </w:tc>
    </w:tr>
  </w:tbl>
  <w:p w:rsidR="00B6647E" w:rsidRPr="00353524" w:rsidRDefault="00B6647E" w:rsidP="00B6647E">
    <w:pPr>
      <w:pStyle w:val="Kopfzeile"/>
      <w:spacing w:before="40"/>
      <w:rPr>
        <w:rFonts w:asciiTheme="majorHAnsi" w:hAnsiTheme="majorHAnsi" w:cstheme="majorHAnsi"/>
        <w:sz w:val="16"/>
      </w:rPr>
    </w:pPr>
    <w:r w:rsidRPr="00353524">
      <w:rPr>
        <w:rFonts w:asciiTheme="majorHAnsi" w:hAnsiTheme="majorHAnsi" w:cstheme="majorHAnsi"/>
        <w:sz w:val="16"/>
      </w:rPr>
      <w:t xml:space="preserve">Für die AJB: </w:t>
    </w:r>
    <w:r w:rsidR="00220356">
      <w:rPr>
        <w:rFonts w:asciiTheme="majorHAnsi" w:hAnsiTheme="majorHAnsi" w:cstheme="majorHAnsi"/>
        <w:sz w:val="16"/>
      </w:rPr>
      <w:t xml:space="preserve">Axel </w:t>
    </w:r>
    <w:proofErr w:type="spellStart"/>
    <w:r w:rsidR="00220356">
      <w:rPr>
        <w:rFonts w:asciiTheme="majorHAnsi" w:hAnsiTheme="majorHAnsi" w:cstheme="majorHAnsi"/>
        <w:sz w:val="16"/>
      </w:rPr>
      <w:t>Monney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7A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189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BC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789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A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F03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94C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3A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209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20B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550B88"/>
    <w:multiLevelType w:val="hybridMultilevel"/>
    <w:tmpl w:val="F75888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71A4"/>
    <w:multiLevelType w:val="hybridMultilevel"/>
    <w:tmpl w:val="06D8EFE8"/>
    <w:lvl w:ilvl="0" w:tplc="BED0BCDE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B0A15"/>
    <w:rsid w:val="0000027C"/>
    <w:rsid w:val="000424C7"/>
    <w:rsid w:val="000B2FC7"/>
    <w:rsid w:val="00125257"/>
    <w:rsid w:val="001E582A"/>
    <w:rsid w:val="00220356"/>
    <w:rsid w:val="002560FE"/>
    <w:rsid w:val="00272B59"/>
    <w:rsid w:val="002735EB"/>
    <w:rsid w:val="002B0A15"/>
    <w:rsid w:val="00353524"/>
    <w:rsid w:val="00373A72"/>
    <w:rsid w:val="003E5F4D"/>
    <w:rsid w:val="003E5F62"/>
    <w:rsid w:val="003F7370"/>
    <w:rsid w:val="00422C2A"/>
    <w:rsid w:val="004774CF"/>
    <w:rsid w:val="004D08D3"/>
    <w:rsid w:val="00523D2C"/>
    <w:rsid w:val="00533B53"/>
    <w:rsid w:val="00627A61"/>
    <w:rsid w:val="00687312"/>
    <w:rsid w:val="006D6839"/>
    <w:rsid w:val="0076569D"/>
    <w:rsid w:val="008620D7"/>
    <w:rsid w:val="00866A8B"/>
    <w:rsid w:val="008A54FB"/>
    <w:rsid w:val="00912CE0"/>
    <w:rsid w:val="00915939"/>
    <w:rsid w:val="00916AAB"/>
    <w:rsid w:val="009411A3"/>
    <w:rsid w:val="009529AF"/>
    <w:rsid w:val="009548A4"/>
    <w:rsid w:val="00991D2D"/>
    <w:rsid w:val="009D690D"/>
    <w:rsid w:val="00A05961"/>
    <w:rsid w:val="00A324AA"/>
    <w:rsid w:val="00A474DE"/>
    <w:rsid w:val="00B32F3A"/>
    <w:rsid w:val="00B437AB"/>
    <w:rsid w:val="00B6647E"/>
    <w:rsid w:val="00B71856"/>
    <w:rsid w:val="00BF2A79"/>
    <w:rsid w:val="00C26AFD"/>
    <w:rsid w:val="00C3592A"/>
    <w:rsid w:val="00C6707C"/>
    <w:rsid w:val="00CE293A"/>
    <w:rsid w:val="00D23554"/>
    <w:rsid w:val="00D64D82"/>
    <w:rsid w:val="00DC0365"/>
    <w:rsid w:val="00E0145D"/>
    <w:rsid w:val="00E04CCC"/>
    <w:rsid w:val="00E12EBE"/>
    <w:rsid w:val="00E24266"/>
    <w:rsid w:val="00F64079"/>
    <w:rsid w:val="00FF73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gitternetz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64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524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el\AppData\Local\Temp\Temp1_Vorlage_HV_Protokoll.zip\Vorlage_HV_Protokoll\Vorlage_HV_Protokol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Vorlage_HV_Protokoll.dotx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Butzus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3</cp:revision>
  <cp:lastPrinted>2009-05-08T15:32:00Z</cp:lastPrinted>
  <dcterms:created xsi:type="dcterms:W3CDTF">2013-10-27T20:02:00Z</dcterms:created>
  <dcterms:modified xsi:type="dcterms:W3CDTF">2013-10-28T05:08:00Z</dcterms:modified>
</cp:coreProperties>
</file>